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2C1" w:rsidRPr="009378DF" w:rsidRDefault="00EB72C1" w:rsidP="00EB72C1">
      <w:pPr>
        <w:rPr>
          <w:rFonts w:ascii="彩虹粗仿宋" w:eastAsia="彩虹粗仿宋"/>
          <w:b/>
          <w:color w:val="000000"/>
          <w:sz w:val="32"/>
          <w:szCs w:val="32"/>
        </w:rPr>
      </w:pPr>
      <w:r w:rsidRPr="00EE774A">
        <w:rPr>
          <w:rFonts w:ascii="彩虹粗仿宋" w:eastAsia="彩虹粗仿宋" w:hint="eastAsia"/>
          <w:b/>
          <w:color w:val="000000"/>
          <w:sz w:val="32"/>
          <w:szCs w:val="32"/>
        </w:rPr>
        <w:t>附件</w:t>
      </w:r>
      <w:r w:rsidR="00C47675">
        <w:rPr>
          <w:rFonts w:ascii="彩虹粗仿宋" w:eastAsia="彩虹粗仿宋" w:hint="eastAsia"/>
          <w:b/>
          <w:color w:val="000000"/>
          <w:sz w:val="32"/>
          <w:szCs w:val="32"/>
        </w:rPr>
        <w:t>9</w:t>
      </w:r>
    </w:p>
    <w:p w:rsidR="00EB72C1" w:rsidRDefault="00EB72C1" w:rsidP="00EB72C1">
      <w:pPr>
        <w:jc w:val="center"/>
        <w:rPr>
          <w:b/>
          <w:color w:val="000000"/>
          <w:sz w:val="32"/>
          <w:szCs w:val="32"/>
        </w:rPr>
      </w:pPr>
      <w:r w:rsidRPr="009378DF">
        <w:rPr>
          <w:rFonts w:hint="eastAsia"/>
          <w:b/>
          <w:color w:val="000000"/>
          <w:sz w:val="32"/>
          <w:szCs w:val="32"/>
        </w:rPr>
        <w:t>“乾元—</w:t>
      </w:r>
      <w:r w:rsidR="00D77F41">
        <w:rPr>
          <w:rFonts w:hint="eastAsia"/>
          <w:b/>
          <w:color w:val="000000"/>
          <w:sz w:val="32"/>
          <w:szCs w:val="32"/>
        </w:rPr>
        <w:t>乐</w:t>
      </w:r>
      <w:r w:rsidRPr="009378DF">
        <w:rPr>
          <w:rFonts w:hint="eastAsia"/>
          <w:b/>
          <w:color w:val="000000"/>
          <w:sz w:val="32"/>
          <w:szCs w:val="32"/>
        </w:rPr>
        <w:t>溢”</w:t>
      </w:r>
      <w:r>
        <w:rPr>
          <w:rFonts w:hint="eastAsia"/>
          <w:b/>
          <w:color w:val="000000"/>
          <w:sz w:val="32"/>
          <w:szCs w:val="32"/>
        </w:rPr>
        <w:t>9</w:t>
      </w:r>
      <w:r w:rsidRPr="009378DF">
        <w:rPr>
          <w:rFonts w:hint="eastAsia"/>
          <w:b/>
          <w:color w:val="000000"/>
          <w:sz w:val="32"/>
          <w:szCs w:val="32"/>
        </w:rPr>
        <w:t>0</w:t>
      </w:r>
      <w:r w:rsidRPr="009378DF">
        <w:rPr>
          <w:rFonts w:hint="eastAsia"/>
          <w:b/>
          <w:color w:val="000000"/>
          <w:sz w:val="32"/>
          <w:szCs w:val="32"/>
        </w:rPr>
        <w:t>天开放式资产组合型人民币理财产品</w:t>
      </w:r>
    </w:p>
    <w:p w:rsidR="00EB72C1" w:rsidRPr="00EE774A" w:rsidRDefault="00D77F41" w:rsidP="00EB72C1">
      <w:pPr>
        <w:jc w:val="center"/>
        <w:rPr>
          <w:b/>
          <w:color w:val="000000"/>
          <w:sz w:val="32"/>
          <w:szCs w:val="32"/>
        </w:rPr>
      </w:pPr>
      <w:r>
        <w:rPr>
          <w:rFonts w:hint="eastAsia"/>
          <w:b/>
          <w:color w:val="000000"/>
          <w:sz w:val="32"/>
          <w:szCs w:val="32"/>
        </w:rPr>
        <w:t>（个人</w:t>
      </w:r>
      <w:r w:rsidR="00EB72C1" w:rsidRPr="009378DF">
        <w:rPr>
          <w:rFonts w:hint="eastAsia"/>
          <w:b/>
          <w:color w:val="000000"/>
          <w:sz w:val="32"/>
          <w:szCs w:val="32"/>
        </w:rPr>
        <w:t>版）</w:t>
      </w:r>
      <w:r w:rsidR="00EB72C1" w:rsidRPr="00EE774A">
        <w:rPr>
          <w:rFonts w:hint="eastAsia"/>
          <w:b/>
          <w:color w:val="000000"/>
          <w:sz w:val="32"/>
          <w:szCs w:val="32"/>
        </w:rPr>
        <w:t>月度投资管理报告</w:t>
      </w:r>
    </w:p>
    <w:p w:rsidR="00EB72C1" w:rsidRPr="00EE774A" w:rsidRDefault="00EB72C1" w:rsidP="00EB72C1">
      <w:pPr>
        <w:spacing w:line="480" w:lineRule="exact"/>
        <w:ind w:firstLineChars="200" w:firstLine="420"/>
        <w:jc w:val="center"/>
        <w:rPr>
          <w:rFonts w:ascii="宋体" w:hAnsi="宋体"/>
          <w:color w:val="000000"/>
          <w:szCs w:val="21"/>
        </w:rPr>
      </w:pPr>
      <w:r w:rsidRPr="00EE774A">
        <w:rPr>
          <w:rFonts w:ascii="宋体" w:hAnsi="宋体" w:hint="eastAsia"/>
          <w:color w:val="000000"/>
          <w:szCs w:val="21"/>
        </w:rPr>
        <w:t>报告日：201</w:t>
      </w:r>
      <w:r w:rsidR="00F16B8B">
        <w:rPr>
          <w:rFonts w:ascii="宋体" w:hAnsi="宋体" w:hint="eastAsia"/>
          <w:color w:val="000000"/>
          <w:szCs w:val="21"/>
        </w:rPr>
        <w:t>8</w:t>
      </w:r>
      <w:r w:rsidRPr="00EE774A">
        <w:rPr>
          <w:rFonts w:ascii="宋体" w:hAnsi="宋体" w:hint="eastAsia"/>
          <w:color w:val="000000"/>
          <w:szCs w:val="21"/>
        </w:rPr>
        <w:t>年</w:t>
      </w:r>
      <w:r w:rsidR="00154E49">
        <w:rPr>
          <w:rFonts w:ascii="宋体" w:hAnsi="宋体" w:hint="eastAsia"/>
          <w:color w:val="000000"/>
          <w:szCs w:val="21"/>
        </w:rPr>
        <w:t>4</w:t>
      </w:r>
      <w:r>
        <w:rPr>
          <w:rFonts w:ascii="宋体" w:hAnsi="宋体" w:hint="eastAsia"/>
          <w:color w:val="000000"/>
          <w:szCs w:val="21"/>
        </w:rPr>
        <w:t>月</w:t>
      </w:r>
      <w:r w:rsidR="00154E49">
        <w:rPr>
          <w:rFonts w:ascii="宋体" w:hAnsi="宋体" w:hint="eastAsia"/>
          <w:color w:val="000000"/>
          <w:szCs w:val="21"/>
        </w:rPr>
        <w:t>30</w:t>
      </w:r>
      <w:r>
        <w:rPr>
          <w:rFonts w:ascii="宋体" w:hAnsi="宋体" w:hint="eastAsia"/>
          <w:color w:val="000000"/>
          <w:szCs w:val="21"/>
        </w:rPr>
        <w:t xml:space="preserve">日    </w:t>
      </w:r>
    </w:p>
    <w:p w:rsidR="00EB72C1" w:rsidRPr="000A55B8" w:rsidRDefault="00D77F41" w:rsidP="00154E49">
      <w:pPr>
        <w:ind w:firstLine="420"/>
        <w:rPr>
          <w:rFonts w:ascii="宋体" w:hAnsi="宋体"/>
          <w:color w:val="000000"/>
          <w:sz w:val="28"/>
          <w:szCs w:val="28"/>
        </w:rPr>
      </w:pPr>
      <w:r>
        <w:rPr>
          <w:rFonts w:ascii="宋体" w:hAnsi="宋体" w:hint="eastAsia"/>
          <w:color w:val="000000"/>
          <w:sz w:val="28"/>
          <w:szCs w:val="28"/>
        </w:rPr>
        <w:t>“乾元—乐</w:t>
      </w:r>
      <w:r w:rsidR="00EB72C1" w:rsidRPr="000A55B8">
        <w:rPr>
          <w:rFonts w:ascii="宋体" w:hAnsi="宋体" w:hint="eastAsia"/>
          <w:color w:val="000000"/>
          <w:sz w:val="28"/>
          <w:szCs w:val="28"/>
        </w:rPr>
        <w:t>溢”</w:t>
      </w:r>
      <w:r w:rsidR="00EB72C1">
        <w:rPr>
          <w:rFonts w:ascii="宋体" w:hAnsi="宋体" w:hint="eastAsia"/>
          <w:color w:val="000000"/>
          <w:sz w:val="28"/>
          <w:szCs w:val="28"/>
        </w:rPr>
        <w:t>9</w:t>
      </w:r>
      <w:r w:rsidR="00EB72C1" w:rsidRPr="000A55B8">
        <w:rPr>
          <w:rFonts w:ascii="宋体" w:hAnsi="宋体" w:hint="eastAsia"/>
          <w:color w:val="000000"/>
          <w:sz w:val="28"/>
          <w:szCs w:val="28"/>
        </w:rPr>
        <w:t>0天开放式资产组合型人民币理财产品（</w:t>
      </w:r>
      <w:r>
        <w:rPr>
          <w:rFonts w:ascii="宋体" w:hAnsi="宋体" w:hint="eastAsia"/>
          <w:color w:val="000000"/>
          <w:sz w:val="28"/>
          <w:szCs w:val="28"/>
        </w:rPr>
        <w:t>个人</w:t>
      </w:r>
      <w:r w:rsidR="00EB72C1" w:rsidRPr="000A55B8">
        <w:rPr>
          <w:rFonts w:ascii="宋体" w:hAnsi="宋体" w:hint="eastAsia"/>
          <w:color w:val="000000"/>
          <w:sz w:val="28"/>
          <w:szCs w:val="28"/>
        </w:rPr>
        <w:t>版）</w:t>
      </w:r>
      <w:r w:rsidR="00EB72C1" w:rsidRPr="00EE774A">
        <w:rPr>
          <w:rFonts w:ascii="宋体" w:hAnsi="宋体" w:hint="eastAsia"/>
          <w:color w:val="000000"/>
          <w:sz w:val="28"/>
          <w:szCs w:val="28"/>
        </w:rPr>
        <w:t>于201</w:t>
      </w:r>
      <w:r>
        <w:rPr>
          <w:rFonts w:ascii="宋体" w:hAnsi="宋体" w:hint="eastAsia"/>
          <w:color w:val="000000"/>
          <w:sz w:val="28"/>
          <w:szCs w:val="28"/>
        </w:rPr>
        <w:t>8</w:t>
      </w:r>
      <w:r w:rsidR="00EB72C1" w:rsidRPr="00EE774A">
        <w:rPr>
          <w:rFonts w:ascii="宋体" w:hAnsi="宋体" w:hint="eastAsia"/>
          <w:color w:val="000000"/>
          <w:sz w:val="28"/>
          <w:szCs w:val="28"/>
        </w:rPr>
        <w:t>年</w:t>
      </w:r>
      <w:r>
        <w:rPr>
          <w:rFonts w:ascii="宋体" w:hAnsi="宋体" w:hint="eastAsia"/>
          <w:color w:val="000000"/>
          <w:sz w:val="28"/>
          <w:szCs w:val="28"/>
        </w:rPr>
        <w:t>2</w:t>
      </w:r>
      <w:r w:rsidR="00EB72C1" w:rsidRPr="00EE774A">
        <w:rPr>
          <w:rFonts w:ascii="宋体" w:hAnsi="宋体" w:hint="eastAsia"/>
          <w:color w:val="000000"/>
          <w:sz w:val="28"/>
          <w:szCs w:val="28"/>
        </w:rPr>
        <w:t>月</w:t>
      </w:r>
      <w:r>
        <w:rPr>
          <w:rFonts w:ascii="宋体" w:hAnsi="宋体" w:hint="eastAsia"/>
          <w:color w:val="000000"/>
          <w:sz w:val="28"/>
          <w:szCs w:val="28"/>
        </w:rPr>
        <w:t>14</w:t>
      </w:r>
      <w:r w:rsidR="00EB72C1" w:rsidRPr="00EE774A">
        <w:rPr>
          <w:rFonts w:ascii="宋体" w:hAnsi="宋体" w:hint="eastAsia"/>
          <w:color w:val="000000"/>
          <w:sz w:val="28"/>
          <w:szCs w:val="28"/>
        </w:rPr>
        <w:t>日正式成立。截至报告日，本产品规模为</w:t>
      </w:r>
      <w:r w:rsidR="00EB72C1" w:rsidRPr="003A425A">
        <w:rPr>
          <w:rFonts w:ascii="宋体" w:hAnsi="宋体" w:hint="eastAsia"/>
          <w:color w:val="000000"/>
          <w:sz w:val="28"/>
          <w:szCs w:val="28"/>
        </w:rPr>
        <w:t xml:space="preserve">                                         </w:t>
      </w:r>
      <w:r w:rsidR="00154E49" w:rsidRPr="00154E49">
        <w:rPr>
          <w:rFonts w:ascii="宋体" w:hAnsi="宋体" w:hint="eastAsia"/>
          <w:color w:val="000000"/>
          <w:sz w:val="28"/>
          <w:szCs w:val="28"/>
        </w:rPr>
        <w:t>343,143,000.00</w:t>
      </w:r>
      <w:r w:rsidR="00EB72C1" w:rsidRPr="00F92C32">
        <w:rPr>
          <w:rFonts w:ascii="宋体" w:hAnsi="宋体" w:hint="eastAsia"/>
          <w:color w:val="000000"/>
          <w:sz w:val="28"/>
          <w:szCs w:val="28"/>
        </w:rPr>
        <w:t>元。</w:t>
      </w:r>
    </w:p>
    <w:p w:rsidR="00EB72C1" w:rsidRPr="00EE774A" w:rsidRDefault="00EB72C1" w:rsidP="00EB72C1">
      <w:pPr>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一、报告期投资者实际收益率</w:t>
      </w:r>
    </w:p>
    <w:p w:rsidR="00154E49" w:rsidRPr="00154E49" w:rsidRDefault="00154E49" w:rsidP="00154E49">
      <w:pPr>
        <w:ind w:firstLineChars="200" w:firstLine="560"/>
        <w:jc w:val="left"/>
        <w:rPr>
          <w:rFonts w:ascii="宋体" w:hAnsi="宋体" w:hint="eastAsia"/>
          <w:color w:val="000000"/>
          <w:sz w:val="28"/>
          <w:szCs w:val="28"/>
        </w:rPr>
      </w:pPr>
      <w:r w:rsidRPr="00154E49">
        <w:rPr>
          <w:rFonts w:ascii="宋体" w:hAnsi="宋体" w:hint="eastAsia"/>
          <w:color w:val="000000"/>
          <w:sz w:val="28"/>
          <w:szCs w:val="28"/>
        </w:rPr>
        <w:t>中国建设银行于2018年4月10日（含）起，调整“乾元—乐溢”90天开放式资产组合型人民币理财产品（个人版）客户预期年化收益率，具体如下表：</w:t>
      </w:r>
    </w:p>
    <w:tbl>
      <w:tblPr>
        <w:tblW w:w="35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2454"/>
        <w:gridCol w:w="2268"/>
      </w:tblGrid>
      <w:tr w:rsidR="00154E49" w:rsidRPr="00154E49" w:rsidTr="00154E49">
        <w:trPr>
          <w:trHeight w:val="20"/>
          <w:tblHeader/>
          <w:jc w:val="center"/>
        </w:trPr>
        <w:tc>
          <w:tcPr>
            <w:tcW w:w="1315" w:type="dxa"/>
            <w:vAlign w:val="center"/>
            <w:hideMark/>
          </w:tcPr>
          <w:p w:rsidR="00154E49" w:rsidRPr="00154E49" w:rsidRDefault="00154E49" w:rsidP="00154E49">
            <w:pPr>
              <w:jc w:val="center"/>
            </w:pPr>
            <w:r w:rsidRPr="00154E49">
              <w:rPr>
                <w:rFonts w:hint="eastAsia"/>
              </w:rPr>
              <w:t>档期设置</w:t>
            </w:r>
          </w:p>
        </w:tc>
        <w:tc>
          <w:tcPr>
            <w:tcW w:w="2454" w:type="dxa"/>
            <w:vAlign w:val="center"/>
            <w:hideMark/>
          </w:tcPr>
          <w:p w:rsidR="00154E49" w:rsidRPr="00154E49" w:rsidRDefault="00154E49" w:rsidP="00154E49">
            <w:pPr>
              <w:jc w:val="center"/>
            </w:pPr>
            <w:r w:rsidRPr="00154E49">
              <w:rPr>
                <w:rFonts w:hint="eastAsia"/>
              </w:rPr>
              <w:t>客户预期年化收益率</w:t>
            </w:r>
          </w:p>
          <w:p w:rsidR="00154E49" w:rsidRPr="00154E49" w:rsidRDefault="00154E49" w:rsidP="00154E49">
            <w:pPr>
              <w:jc w:val="center"/>
            </w:pPr>
            <w:r w:rsidRPr="00154E49">
              <w:rPr>
                <w:rFonts w:hint="eastAsia"/>
              </w:rPr>
              <w:t>（调整前）</w:t>
            </w:r>
          </w:p>
        </w:tc>
        <w:tc>
          <w:tcPr>
            <w:tcW w:w="2268" w:type="dxa"/>
            <w:hideMark/>
          </w:tcPr>
          <w:p w:rsidR="00154E49" w:rsidRPr="00154E49" w:rsidRDefault="00154E49" w:rsidP="00154E49">
            <w:pPr>
              <w:jc w:val="center"/>
            </w:pPr>
            <w:r w:rsidRPr="00154E49">
              <w:rPr>
                <w:rFonts w:hint="eastAsia"/>
              </w:rPr>
              <w:t>客户预期年化收益率</w:t>
            </w:r>
          </w:p>
          <w:p w:rsidR="00154E49" w:rsidRPr="00154E49" w:rsidRDefault="00154E49" w:rsidP="00154E49">
            <w:pPr>
              <w:jc w:val="center"/>
            </w:pPr>
            <w:r w:rsidRPr="00154E49">
              <w:rPr>
                <w:rFonts w:hint="eastAsia"/>
              </w:rPr>
              <w:t>（调整后）</w:t>
            </w:r>
          </w:p>
        </w:tc>
      </w:tr>
      <w:tr w:rsidR="00154E49" w:rsidRPr="00154E49" w:rsidTr="00154E49">
        <w:trPr>
          <w:trHeight w:val="20"/>
          <w:jc w:val="center"/>
        </w:trPr>
        <w:tc>
          <w:tcPr>
            <w:tcW w:w="1315" w:type="dxa"/>
            <w:vAlign w:val="center"/>
            <w:hideMark/>
          </w:tcPr>
          <w:p w:rsidR="00154E49" w:rsidRPr="00154E49" w:rsidRDefault="00154E49" w:rsidP="00154E49">
            <w:pPr>
              <w:jc w:val="center"/>
            </w:pPr>
            <w:r w:rsidRPr="00154E49">
              <w:rPr>
                <w:rFonts w:hint="eastAsia"/>
              </w:rPr>
              <w:t>90</w:t>
            </w:r>
            <w:r w:rsidRPr="00154E49">
              <w:rPr>
                <w:rFonts w:hint="eastAsia"/>
              </w:rPr>
              <w:t>天</w:t>
            </w:r>
          </w:p>
        </w:tc>
        <w:tc>
          <w:tcPr>
            <w:tcW w:w="2454" w:type="dxa"/>
            <w:hideMark/>
          </w:tcPr>
          <w:p w:rsidR="00154E49" w:rsidRPr="00154E49" w:rsidRDefault="00154E49" w:rsidP="00154E49">
            <w:pPr>
              <w:jc w:val="center"/>
            </w:pPr>
            <w:r w:rsidRPr="00154E49">
              <w:rPr>
                <w:rFonts w:hint="eastAsia"/>
              </w:rPr>
              <w:t>5.10%</w:t>
            </w:r>
          </w:p>
        </w:tc>
        <w:tc>
          <w:tcPr>
            <w:tcW w:w="2268" w:type="dxa"/>
            <w:hideMark/>
          </w:tcPr>
          <w:p w:rsidR="00154E49" w:rsidRPr="00154E49" w:rsidRDefault="00154E49" w:rsidP="00154E49">
            <w:pPr>
              <w:jc w:val="center"/>
            </w:pPr>
            <w:r w:rsidRPr="00154E49">
              <w:rPr>
                <w:rFonts w:hint="eastAsia"/>
              </w:rPr>
              <w:t>5.00%</w:t>
            </w:r>
          </w:p>
        </w:tc>
      </w:tr>
    </w:tbl>
    <w:p w:rsidR="00154E49" w:rsidRPr="00154E49" w:rsidRDefault="00154E49" w:rsidP="00154E49">
      <w:pPr>
        <w:ind w:firstLineChars="200" w:firstLine="560"/>
        <w:jc w:val="left"/>
        <w:rPr>
          <w:rFonts w:ascii="宋体" w:hAnsi="宋体" w:hint="eastAsia"/>
          <w:color w:val="000000"/>
          <w:sz w:val="28"/>
          <w:szCs w:val="28"/>
        </w:rPr>
      </w:pPr>
      <w:r w:rsidRPr="00154E49">
        <w:rPr>
          <w:rFonts w:ascii="宋体" w:hAnsi="宋体" w:hint="eastAsia"/>
          <w:color w:val="000000"/>
          <w:sz w:val="28"/>
          <w:szCs w:val="28"/>
        </w:rPr>
        <w:t>新客户预期年化收益率于2018年4月10日（含）起执行。对于2018年4月10日（不含）前已经购买成功且未赎回的存量投资本金，其中封闭期内的份额仍按照购买确认日当日的客户预期年化收益率计算投资收益，非封闭期内的份额从2018年4月10日（含）起按调整后的预期年化收益率计算投资收益。2018年4月10日（含）后购买的部分自动执行调整后的客户预期年化收益率。但前述情形下的最终投资收益均以我行最终支付的实际年化收益率为准。</w:t>
      </w:r>
    </w:p>
    <w:p w:rsidR="00EB72C1" w:rsidRPr="00EE774A" w:rsidRDefault="00EB72C1" w:rsidP="00EB72C1">
      <w:pPr>
        <w:ind w:firstLineChars="200" w:firstLine="560"/>
        <w:jc w:val="left"/>
        <w:rPr>
          <w:rFonts w:ascii="宋体" w:hAnsi="宋体"/>
          <w:color w:val="000000"/>
          <w:sz w:val="28"/>
          <w:szCs w:val="28"/>
        </w:rPr>
      </w:pPr>
      <w:r w:rsidRPr="009E0E2D">
        <w:rPr>
          <w:rFonts w:ascii="宋体" w:hAnsi="宋体" w:hint="eastAsia"/>
          <w:color w:val="000000"/>
          <w:sz w:val="28"/>
          <w:szCs w:val="28"/>
        </w:rPr>
        <w:t>相关</w:t>
      </w:r>
      <w:r w:rsidRPr="00EE774A">
        <w:rPr>
          <w:rFonts w:ascii="宋体" w:hAnsi="宋体" w:hint="eastAsia"/>
          <w:color w:val="000000"/>
          <w:sz w:val="28"/>
          <w:szCs w:val="28"/>
        </w:rPr>
        <w:t>收益及计算方法，请具体查阅对应的收益率调整公告及产品说明书。</w:t>
      </w:r>
    </w:p>
    <w:p w:rsidR="00EB72C1" w:rsidRPr="00EE774A" w:rsidRDefault="00EB72C1" w:rsidP="00EB72C1">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二、产品投资组合详细情况</w:t>
      </w:r>
    </w:p>
    <w:p w:rsidR="00EB72C1" w:rsidRPr="00EE774A" w:rsidRDefault="00EB72C1" w:rsidP="00EB72C1">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lastRenderedPageBreak/>
        <w:t>（一）投资组合的基本情况</w:t>
      </w:r>
    </w:p>
    <w:p w:rsidR="00EB72C1" w:rsidRPr="00EE774A" w:rsidRDefault="00B92EBB" w:rsidP="00EB72C1">
      <w:pPr>
        <w:jc w:val="center"/>
        <w:rPr>
          <w:rFonts w:ascii="宋体" w:hAnsi="宋体"/>
          <w:color w:val="000000"/>
          <w:sz w:val="28"/>
          <w:szCs w:val="28"/>
        </w:rPr>
      </w:pPr>
      <w:r>
        <w:rPr>
          <w:noProof/>
        </w:rPr>
        <w:drawing>
          <wp:inline distT="0" distB="0" distL="0" distR="0" wp14:anchorId="410880ED" wp14:editId="00511B3E">
            <wp:extent cx="3228975" cy="155257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B72C1" w:rsidRPr="00EE774A" w:rsidRDefault="00EB72C1" w:rsidP="00EB72C1">
      <w:pPr>
        <w:spacing w:line="480" w:lineRule="exact"/>
        <w:ind w:firstLineChars="146" w:firstLine="410"/>
        <w:outlineLvl w:val="0"/>
        <w:rPr>
          <w:rFonts w:ascii="宋体" w:hAnsi="宋体"/>
          <w:b/>
          <w:color w:val="000000"/>
          <w:sz w:val="28"/>
          <w:szCs w:val="28"/>
        </w:rPr>
      </w:pPr>
      <w:r>
        <w:rPr>
          <w:rFonts w:ascii="宋体" w:hAnsi="宋体" w:hint="eastAsia"/>
          <w:b/>
          <w:color w:val="000000"/>
          <w:sz w:val="28"/>
          <w:szCs w:val="28"/>
        </w:rPr>
        <w:t xml:space="preserve"> </w:t>
      </w:r>
      <w:r w:rsidRPr="00EE774A">
        <w:rPr>
          <w:rFonts w:ascii="宋体" w:hAnsi="宋体" w:hint="eastAsia"/>
          <w:b/>
          <w:color w:val="000000"/>
          <w:sz w:val="28"/>
          <w:szCs w:val="28"/>
        </w:rPr>
        <w:t>（二）融资类资产的行内评级构成</w:t>
      </w:r>
    </w:p>
    <w:p w:rsidR="00EB72C1" w:rsidRPr="00EE774A" w:rsidRDefault="00B92EBB" w:rsidP="00EB72C1">
      <w:pPr>
        <w:jc w:val="center"/>
        <w:rPr>
          <w:rFonts w:ascii="宋体" w:hAnsi="宋体"/>
          <w:color w:val="000000"/>
          <w:sz w:val="28"/>
          <w:szCs w:val="28"/>
        </w:rPr>
      </w:pPr>
      <w:r>
        <w:rPr>
          <w:noProof/>
        </w:rPr>
        <w:drawing>
          <wp:inline distT="0" distB="0" distL="0" distR="0" wp14:anchorId="2F1E74CE" wp14:editId="7AF1AC87">
            <wp:extent cx="2952750" cy="1428750"/>
            <wp:effectExtent l="3810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72C1" w:rsidRPr="00EE774A" w:rsidRDefault="00EB72C1" w:rsidP="00EB72C1">
      <w:pPr>
        <w:spacing w:line="480" w:lineRule="exact"/>
        <w:ind w:firstLineChars="200" w:firstLine="562"/>
        <w:outlineLvl w:val="0"/>
        <w:rPr>
          <w:rFonts w:ascii="宋体" w:hAnsi="宋体"/>
          <w:b/>
          <w:color w:val="000000"/>
          <w:sz w:val="28"/>
          <w:szCs w:val="28"/>
        </w:rPr>
      </w:pPr>
      <w:r w:rsidRPr="00C75BE9">
        <w:rPr>
          <w:rFonts w:ascii="宋体" w:hAnsi="宋体" w:hint="eastAsia"/>
          <w:b/>
          <w:color w:val="000000"/>
          <w:sz w:val="28"/>
          <w:szCs w:val="28"/>
        </w:rPr>
        <w:t>（三</w:t>
      </w:r>
      <w:r w:rsidRPr="00C75BE9">
        <w:rPr>
          <w:rFonts w:ascii="宋体" w:hAnsi="宋体"/>
          <w:b/>
          <w:color w:val="000000"/>
          <w:sz w:val="28"/>
          <w:szCs w:val="28"/>
        </w:rPr>
        <w:t>）</w:t>
      </w:r>
      <w:r w:rsidRPr="00FF2407">
        <w:rPr>
          <w:rFonts w:ascii="宋体" w:hAnsi="宋体" w:hint="eastAsia"/>
          <w:b/>
          <w:color w:val="000000"/>
          <w:sz w:val="28"/>
          <w:szCs w:val="28"/>
        </w:rPr>
        <w:t>融资类资产的行业占比构成情况</w:t>
      </w:r>
    </w:p>
    <w:p w:rsidR="00EB72C1" w:rsidRPr="005622F6" w:rsidRDefault="00B92EBB" w:rsidP="00EB72C1">
      <w:pPr>
        <w:ind w:right="-58"/>
        <w:jc w:val="center"/>
        <w:rPr>
          <w:rFonts w:ascii="宋体" w:hAnsi="宋体"/>
          <w:color w:val="000000"/>
          <w:sz w:val="28"/>
          <w:szCs w:val="28"/>
        </w:rPr>
      </w:pPr>
      <w:r>
        <w:rPr>
          <w:noProof/>
        </w:rPr>
        <w:drawing>
          <wp:inline distT="0" distB="0" distL="0" distR="0" wp14:anchorId="4E3590C5" wp14:editId="1ACF7079">
            <wp:extent cx="5276850" cy="1133475"/>
            <wp:effectExtent l="0" t="0" r="1905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72C1" w:rsidRPr="00EE774A" w:rsidRDefault="00EB72C1" w:rsidP="00EB72C1">
      <w:pPr>
        <w:spacing w:line="480" w:lineRule="exact"/>
        <w:ind w:firstLineChars="200" w:firstLine="562"/>
        <w:outlineLvl w:val="0"/>
        <w:rPr>
          <w:rFonts w:ascii="宋体" w:hAnsi="宋体"/>
          <w:color w:val="000000"/>
          <w:sz w:val="28"/>
          <w:szCs w:val="28"/>
        </w:rPr>
      </w:pPr>
      <w:r w:rsidRPr="00986C29">
        <w:rPr>
          <w:rFonts w:ascii="宋体" w:hAnsi="宋体" w:hint="eastAsia"/>
          <w:b/>
          <w:color w:val="000000"/>
          <w:sz w:val="28"/>
          <w:szCs w:val="28"/>
        </w:rPr>
        <w:t>三、</w:t>
      </w:r>
      <w:r w:rsidRPr="00EE774A">
        <w:rPr>
          <w:rFonts w:ascii="宋体" w:hAnsi="宋体" w:hint="eastAsia"/>
          <w:b/>
          <w:color w:val="000000"/>
          <w:sz w:val="28"/>
          <w:szCs w:val="28"/>
        </w:rPr>
        <w:t>产品整体运作情况</w:t>
      </w:r>
    </w:p>
    <w:p w:rsidR="00EB72C1" w:rsidRPr="00EE774A" w:rsidRDefault="00EB72C1" w:rsidP="00EB72C1">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（1）自本产品成立起至本报告日，产品管理人恪尽职守、勤勉尽责、谨慎管理，忠实履行有关法律、行政法规和相关文件的规定。</w:t>
      </w:r>
    </w:p>
    <w:p w:rsidR="00EB72C1" w:rsidRPr="00EE774A" w:rsidRDefault="00EB72C1" w:rsidP="00EB72C1">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（2）截至本报告日，所有投资资产正常运营，未发现有异常情况或者不利情况。</w:t>
      </w:r>
    </w:p>
    <w:p w:rsidR="00EB72C1" w:rsidRPr="00EE774A" w:rsidRDefault="00EB72C1" w:rsidP="00EB72C1">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（3）本产品自成立至本报告日，没有发生涉诉及诉讼等损害投资者利益的情形。</w:t>
      </w:r>
    </w:p>
    <w:p w:rsidR="00EB72C1" w:rsidRPr="00EE774A" w:rsidRDefault="00EB72C1" w:rsidP="00EB72C1">
      <w:pPr>
        <w:spacing w:line="480" w:lineRule="exact"/>
        <w:ind w:right="362" w:firstLineChars="2050" w:firstLine="5740"/>
        <w:jc w:val="right"/>
        <w:rPr>
          <w:rFonts w:ascii="宋体" w:hAnsi="宋体"/>
          <w:color w:val="000000"/>
          <w:sz w:val="28"/>
          <w:szCs w:val="28"/>
        </w:rPr>
      </w:pPr>
      <w:r w:rsidRPr="00EE774A">
        <w:rPr>
          <w:rFonts w:ascii="宋体" w:hAnsi="宋体" w:hint="eastAsia"/>
          <w:color w:val="000000"/>
          <w:sz w:val="28"/>
          <w:szCs w:val="28"/>
        </w:rPr>
        <w:t>中国建设银行</w:t>
      </w:r>
    </w:p>
    <w:p w:rsidR="009355B9" w:rsidRDefault="00EB72C1" w:rsidP="00EB72C1">
      <w:pPr>
        <w:spacing w:line="480" w:lineRule="exact"/>
        <w:ind w:right="222" w:firstLineChars="200" w:firstLine="560"/>
        <w:jc w:val="right"/>
        <w:rPr>
          <w:rFonts w:ascii="宋体" w:hAnsi="宋体"/>
          <w:color w:val="000000"/>
          <w:sz w:val="28"/>
          <w:szCs w:val="28"/>
        </w:rPr>
      </w:pPr>
      <w:r>
        <w:rPr>
          <w:rFonts w:ascii="宋体" w:hAnsi="宋体" w:hint="eastAsia"/>
          <w:color w:val="000000"/>
          <w:sz w:val="28"/>
          <w:szCs w:val="28"/>
        </w:rPr>
        <w:t>201</w:t>
      </w:r>
      <w:r w:rsidR="009355B9">
        <w:rPr>
          <w:rFonts w:ascii="宋体" w:hAnsi="宋体" w:hint="eastAsia"/>
          <w:color w:val="000000"/>
          <w:sz w:val="28"/>
          <w:szCs w:val="28"/>
        </w:rPr>
        <w:t>8</w:t>
      </w:r>
      <w:r>
        <w:rPr>
          <w:rFonts w:ascii="宋体" w:hAnsi="宋体" w:hint="eastAsia"/>
          <w:color w:val="000000"/>
          <w:sz w:val="28"/>
          <w:szCs w:val="28"/>
        </w:rPr>
        <w:t>年</w:t>
      </w:r>
      <w:r w:rsidR="00154E49">
        <w:rPr>
          <w:rFonts w:ascii="宋体" w:hAnsi="宋体" w:hint="eastAsia"/>
          <w:color w:val="000000"/>
          <w:sz w:val="28"/>
          <w:szCs w:val="28"/>
        </w:rPr>
        <w:t>5</w:t>
      </w:r>
      <w:r>
        <w:rPr>
          <w:rFonts w:ascii="宋体" w:hAnsi="宋体" w:hint="eastAsia"/>
          <w:color w:val="000000"/>
          <w:sz w:val="28"/>
          <w:szCs w:val="28"/>
        </w:rPr>
        <w:t>月</w:t>
      </w:r>
      <w:r w:rsidR="00154E49">
        <w:rPr>
          <w:rFonts w:ascii="宋体" w:hAnsi="宋体" w:hint="eastAsia"/>
          <w:color w:val="000000"/>
          <w:sz w:val="28"/>
          <w:szCs w:val="28"/>
        </w:rPr>
        <w:t>4</w:t>
      </w:r>
      <w:r>
        <w:rPr>
          <w:rFonts w:ascii="宋体" w:hAnsi="宋体" w:hint="eastAsia"/>
          <w:color w:val="000000"/>
          <w:sz w:val="28"/>
          <w:szCs w:val="28"/>
        </w:rPr>
        <w:t>日</w:t>
      </w:r>
    </w:p>
    <w:p w:rsidR="009355B9" w:rsidRDefault="009355B9">
      <w:pPr>
        <w:widowControl/>
        <w:jc w:val="left"/>
        <w:rPr>
          <w:rFonts w:ascii="宋体" w:hAnsi="宋体"/>
          <w:color w:val="000000"/>
          <w:sz w:val="28"/>
          <w:szCs w:val="28"/>
        </w:rPr>
      </w:pPr>
      <w:bookmarkStart w:id="0" w:name="_GoBack"/>
      <w:bookmarkEnd w:id="0"/>
    </w:p>
    <w:sectPr w:rsidR="009355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8E7" w:rsidRDefault="00DF08E7" w:rsidP="00EB72C1">
      <w:r>
        <w:separator/>
      </w:r>
    </w:p>
  </w:endnote>
  <w:endnote w:type="continuationSeparator" w:id="0">
    <w:p w:rsidR="00DF08E7" w:rsidRDefault="00DF08E7" w:rsidP="00EB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8E7" w:rsidRDefault="00DF08E7" w:rsidP="00EB72C1">
      <w:r>
        <w:separator/>
      </w:r>
    </w:p>
  </w:footnote>
  <w:footnote w:type="continuationSeparator" w:id="0">
    <w:p w:rsidR="00DF08E7" w:rsidRDefault="00DF08E7" w:rsidP="00EB7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06"/>
    <w:rsid w:val="0006241B"/>
    <w:rsid w:val="00065AA1"/>
    <w:rsid w:val="000D2968"/>
    <w:rsid w:val="001010B7"/>
    <w:rsid w:val="00117631"/>
    <w:rsid w:val="00120E19"/>
    <w:rsid w:val="001318CD"/>
    <w:rsid w:val="00153C80"/>
    <w:rsid w:val="00154E49"/>
    <w:rsid w:val="002156EE"/>
    <w:rsid w:val="0026063B"/>
    <w:rsid w:val="002720BA"/>
    <w:rsid w:val="002C17A1"/>
    <w:rsid w:val="002D5B11"/>
    <w:rsid w:val="00352DAC"/>
    <w:rsid w:val="00363AE3"/>
    <w:rsid w:val="003A425A"/>
    <w:rsid w:val="00433B5F"/>
    <w:rsid w:val="004B7C4F"/>
    <w:rsid w:val="004F21E8"/>
    <w:rsid w:val="0050636F"/>
    <w:rsid w:val="005612CE"/>
    <w:rsid w:val="0064560B"/>
    <w:rsid w:val="006702FC"/>
    <w:rsid w:val="00670A8D"/>
    <w:rsid w:val="006C2B34"/>
    <w:rsid w:val="006F2D24"/>
    <w:rsid w:val="006F7468"/>
    <w:rsid w:val="007563D4"/>
    <w:rsid w:val="0083782F"/>
    <w:rsid w:val="00841BEC"/>
    <w:rsid w:val="0089118C"/>
    <w:rsid w:val="008E6BEC"/>
    <w:rsid w:val="00916C06"/>
    <w:rsid w:val="009355B9"/>
    <w:rsid w:val="009C2DE7"/>
    <w:rsid w:val="00A66F45"/>
    <w:rsid w:val="00AA1355"/>
    <w:rsid w:val="00AD1128"/>
    <w:rsid w:val="00AE00F3"/>
    <w:rsid w:val="00B50395"/>
    <w:rsid w:val="00B92EBB"/>
    <w:rsid w:val="00BD6318"/>
    <w:rsid w:val="00C2479C"/>
    <w:rsid w:val="00C47675"/>
    <w:rsid w:val="00CB6958"/>
    <w:rsid w:val="00D77F41"/>
    <w:rsid w:val="00DC7BA7"/>
    <w:rsid w:val="00DF08E7"/>
    <w:rsid w:val="00E242BD"/>
    <w:rsid w:val="00EB72C1"/>
    <w:rsid w:val="00F031B3"/>
    <w:rsid w:val="00F16B8B"/>
    <w:rsid w:val="00F607E5"/>
    <w:rsid w:val="00F73655"/>
    <w:rsid w:val="00F92C32"/>
    <w:rsid w:val="00F95DDD"/>
    <w:rsid w:val="00FB2BE7"/>
    <w:rsid w:val="00FD3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C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2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72C1"/>
    <w:rPr>
      <w:sz w:val="18"/>
      <w:szCs w:val="18"/>
    </w:rPr>
  </w:style>
  <w:style w:type="paragraph" w:styleId="a4">
    <w:name w:val="footer"/>
    <w:basedOn w:val="a"/>
    <w:link w:val="Char0"/>
    <w:uiPriority w:val="99"/>
    <w:unhideWhenUsed/>
    <w:rsid w:val="00EB72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72C1"/>
    <w:rPr>
      <w:sz w:val="18"/>
      <w:szCs w:val="18"/>
    </w:rPr>
  </w:style>
  <w:style w:type="paragraph" w:styleId="a5">
    <w:name w:val="Balloon Text"/>
    <w:basedOn w:val="a"/>
    <w:link w:val="Char1"/>
    <w:uiPriority w:val="99"/>
    <w:semiHidden/>
    <w:unhideWhenUsed/>
    <w:rsid w:val="00EB72C1"/>
    <w:rPr>
      <w:sz w:val="18"/>
      <w:szCs w:val="18"/>
    </w:rPr>
  </w:style>
  <w:style w:type="character" w:customStyle="1" w:styleId="Char1">
    <w:name w:val="批注框文本 Char"/>
    <w:basedOn w:val="a0"/>
    <w:link w:val="a5"/>
    <w:uiPriority w:val="99"/>
    <w:semiHidden/>
    <w:rsid w:val="00EB72C1"/>
    <w:rPr>
      <w:rFonts w:ascii="Calibri" w:eastAsia="宋体" w:hAnsi="Calibri" w:cs="Times New Roman"/>
      <w:sz w:val="18"/>
      <w:szCs w:val="18"/>
    </w:rPr>
  </w:style>
  <w:style w:type="paragraph" w:styleId="a6">
    <w:name w:val="Normal (Web)"/>
    <w:basedOn w:val="a"/>
    <w:uiPriority w:val="99"/>
    <w:unhideWhenUsed/>
    <w:rsid w:val="00F16B8B"/>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F16B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C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2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72C1"/>
    <w:rPr>
      <w:sz w:val="18"/>
      <w:szCs w:val="18"/>
    </w:rPr>
  </w:style>
  <w:style w:type="paragraph" w:styleId="a4">
    <w:name w:val="footer"/>
    <w:basedOn w:val="a"/>
    <w:link w:val="Char0"/>
    <w:uiPriority w:val="99"/>
    <w:unhideWhenUsed/>
    <w:rsid w:val="00EB72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72C1"/>
    <w:rPr>
      <w:sz w:val="18"/>
      <w:szCs w:val="18"/>
    </w:rPr>
  </w:style>
  <w:style w:type="paragraph" w:styleId="a5">
    <w:name w:val="Balloon Text"/>
    <w:basedOn w:val="a"/>
    <w:link w:val="Char1"/>
    <w:uiPriority w:val="99"/>
    <w:semiHidden/>
    <w:unhideWhenUsed/>
    <w:rsid w:val="00EB72C1"/>
    <w:rPr>
      <w:sz w:val="18"/>
      <w:szCs w:val="18"/>
    </w:rPr>
  </w:style>
  <w:style w:type="character" w:customStyle="1" w:styleId="Char1">
    <w:name w:val="批注框文本 Char"/>
    <w:basedOn w:val="a0"/>
    <w:link w:val="a5"/>
    <w:uiPriority w:val="99"/>
    <w:semiHidden/>
    <w:rsid w:val="00EB72C1"/>
    <w:rPr>
      <w:rFonts w:ascii="Calibri" w:eastAsia="宋体" w:hAnsi="Calibri" w:cs="Times New Roman"/>
      <w:sz w:val="18"/>
      <w:szCs w:val="18"/>
    </w:rPr>
  </w:style>
  <w:style w:type="paragraph" w:styleId="a6">
    <w:name w:val="Normal (Web)"/>
    <w:basedOn w:val="a"/>
    <w:uiPriority w:val="99"/>
    <w:unhideWhenUsed/>
    <w:rsid w:val="00F16B8B"/>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F16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225">
      <w:bodyDiv w:val="1"/>
      <w:marLeft w:val="0"/>
      <w:marRight w:val="0"/>
      <w:marTop w:val="0"/>
      <w:marBottom w:val="0"/>
      <w:divBdr>
        <w:top w:val="none" w:sz="0" w:space="0" w:color="auto"/>
        <w:left w:val="none" w:sz="0" w:space="0" w:color="auto"/>
        <w:bottom w:val="none" w:sz="0" w:space="0" w:color="auto"/>
        <w:right w:val="none" w:sz="0" w:space="0" w:color="auto"/>
      </w:divBdr>
    </w:div>
    <w:div w:id="106585596">
      <w:bodyDiv w:val="1"/>
      <w:marLeft w:val="0"/>
      <w:marRight w:val="0"/>
      <w:marTop w:val="0"/>
      <w:marBottom w:val="0"/>
      <w:divBdr>
        <w:top w:val="none" w:sz="0" w:space="0" w:color="auto"/>
        <w:left w:val="none" w:sz="0" w:space="0" w:color="auto"/>
        <w:bottom w:val="none" w:sz="0" w:space="0" w:color="auto"/>
        <w:right w:val="none" w:sz="0" w:space="0" w:color="auto"/>
      </w:divBdr>
    </w:div>
    <w:div w:id="123356287">
      <w:bodyDiv w:val="1"/>
      <w:marLeft w:val="0"/>
      <w:marRight w:val="0"/>
      <w:marTop w:val="0"/>
      <w:marBottom w:val="0"/>
      <w:divBdr>
        <w:top w:val="none" w:sz="0" w:space="0" w:color="auto"/>
        <w:left w:val="none" w:sz="0" w:space="0" w:color="auto"/>
        <w:bottom w:val="none" w:sz="0" w:space="0" w:color="auto"/>
        <w:right w:val="none" w:sz="0" w:space="0" w:color="auto"/>
      </w:divBdr>
    </w:div>
    <w:div w:id="655570283">
      <w:bodyDiv w:val="1"/>
      <w:marLeft w:val="0"/>
      <w:marRight w:val="0"/>
      <w:marTop w:val="0"/>
      <w:marBottom w:val="0"/>
      <w:divBdr>
        <w:top w:val="none" w:sz="0" w:space="0" w:color="auto"/>
        <w:left w:val="none" w:sz="0" w:space="0" w:color="auto"/>
        <w:bottom w:val="none" w:sz="0" w:space="0" w:color="auto"/>
        <w:right w:val="none" w:sz="0" w:space="0" w:color="auto"/>
      </w:divBdr>
    </w:div>
    <w:div w:id="701904891">
      <w:bodyDiv w:val="1"/>
      <w:marLeft w:val="0"/>
      <w:marRight w:val="0"/>
      <w:marTop w:val="0"/>
      <w:marBottom w:val="0"/>
      <w:divBdr>
        <w:top w:val="none" w:sz="0" w:space="0" w:color="auto"/>
        <w:left w:val="none" w:sz="0" w:space="0" w:color="auto"/>
        <w:bottom w:val="none" w:sz="0" w:space="0" w:color="auto"/>
        <w:right w:val="none" w:sz="0" w:space="0" w:color="auto"/>
      </w:divBdr>
    </w:div>
    <w:div w:id="799373244">
      <w:bodyDiv w:val="1"/>
      <w:marLeft w:val="0"/>
      <w:marRight w:val="0"/>
      <w:marTop w:val="0"/>
      <w:marBottom w:val="0"/>
      <w:divBdr>
        <w:top w:val="none" w:sz="0" w:space="0" w:color="auto"/>
        <w:left w:val="none" w:sz="0" w:space="0" w:color="auto"/>
        <w:bottom w:val="none" w:sz="0" w:space="0" w:color="auto"/>
        <w:right w:val="none" w:sz="0" w:space="0" w:color="auto"/>
      </w:divBdr>
    </w:div>
    <w:div w:id="957569359">
      <w:bodyDiv w:val="1"/>
      <w:marLeft w:val="0"/>
      <w:marRight w:val="0"/>
      <w:marTop w:val="0"/>
      <w:marBottom w:val="0"/>
      <w:divBdr>
        <w:top w:val="none" w:sz="0" w:space="0" w:color="auto"/>
        <w:left w:val="none" w:sz="0" w:space="0" w:color="auto"/>
        <w:bottom w:val="none" w:sz="0" w:space="0" w:color="auto"/>
        <w:right w:val="none" w:sz="0" w:space="0" w:color="auto"/>
      </w:divBdr>
    </w:div>
    <w:div w:id="967320305">
      <w:bodyDiv w:val="1"/>
      <w:marLeft w:val="0"/>
      <w:marRight w:val="0"/>
      <w:marTop w:val="0"/>
      <w:marBottom w:val="0"/>
      <w:divBdr>
        <w:top w:val="none" w:sz="0" w:space="0" w:color="auto"/>
        <w:left w:val="none" w:sz="0" w:space="0" w:color="auto"/>
        <w:bottom w:val="none" w:sz="0" w:space="0" w:color="auto"/>
        <w:right w:val="none" w:sz="0" w:space="0" w:color="auto"/>
      </w:divBdr>
    </w:div>
    <w:div w:id="1060136277">
      <w:bodyDiv w:val="1"/>
      <w:marLeft w:val="0"/>
      <w:marRight w:val="0"/>
      <w:marTop w:val="0"/>
      <w:marBottom w:val="0"/>
      <w:divBdr>
        <w:top w:val="none" w:sz="0" w:space="0" w:color="auto"/>
        <w:left w:val="none" w:sz="0" w:space="0" w:color="auto"/>
        <w:bottom w:val="none" w:sz="0" w:space="0" w:color="auto"/>
        <w:right w:val="none" w:sz="0" w:space="0" w:color="auto"/>
      </w:divBdr>
      <w:divsChild>
        <w:div w:id="650909442">
          <w:marLeft w:val="0"/>
          <w:marRight w:val="0"/>
          <w:marTop w:val="600"/>
          <w:marBottom w:val="900"/>
          <w:divBdr>
            <w:top w:val="none" w:sz="0" w:space="0" w:color="auto"/>
            <w:left w:val="none" w:sz="0" w:space="0" w:color="auto"/>
            <w:bottom w:val="none" w:sz="0" w:space="0" w:color="auto"/>
            <w:right w:val="none" w:sz="0" w:space="0" w:color="auto"/>
          </w:divBdr>
          <w:divsChild>
            <w:div w:id="1221285491">
              <w:marLeft w:val="0"/>
              <w:marRight w:val="0"/>
              <w:marTop w:val="0"/>
              <w:marBottom w:val="0"/>
              <w:divBdr>
                <w:top w:val="none" w:sz="0" w:space="0" w:color="auto"/>
                <w:left w:val="none" w:sz="0" w:space="0" w:color="auto"/>
                <w:bottom w:val="none" w:sz="0" w:space="0" w:color="auto"/>
                <w:right w:val="single" w:sz="6" w:space="30" w:color="EEEEEE"/>
              </w:divBdr>
              <w:divsChild>
                <w:div w:id="2974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5180">
      <w:bodyDiv w:val="1"/>
      <w:marLeft w:val="0"/>
      <w:marRight w:val="0"/>
      <w:marTop w:val="0"/>
      <w:marBottom w:val="0"/>
      <w:divBdr>
        <w:top w:val="none" w:sz="0" w:space="0" w:color="auto"/>
        <w:left w:val="none" w:sz="0" w:space="0" w:color="auto"/>
        <w:bottom w:val="none" w:sz="0" w:space="0" w:color="auto"/>
        <w:right w:val="none" w:sz="0" w:space="0" w:color="auto"/>
      </w:divBdr>
    </w:div>
    <w:div w:id="1415513636">
      <w:bodyDiv w:val="1"/>
      <w:marLeft w:val="0"/>
      <w:marRight w:val="0"/>
      <w:marTop w:val="0"/>
      <w:marBottom w:val="0"/>
      <w:divBdr>
        <w:top w:val="none" w:sz="0" w:space="0" w:color="auto"/>
        <w:left w:val="none" w:sz="0" w:space="0" w:color="auto"/>
        <w:bottom w:val="none" w:sz="0" w:space="0" w:color="auto"/>
        <w:right w:val="none" w:sz="0" w:space="0" w:color="auto"/>
      </w:divBdr>
    </w:div>
    <w:div w:id="1691879660">
      <w:bodyDiv w:val="1"/>
      <w:marLeft w:val="0"/>
      <w:marRight w:val="0"/>
      <w:marTop w:val="0"/>
      <w:marBottom w:val="0"/>
      <w:divBdr>
        <w:top w:val="none" w:sz="0" w:space="0" w:color="auto"/>
        <w:left w:val="none" w:sz="0" w:space="0" w:color="auto"/>
        <w:bottom w:val="none" w:sz="0" w:space="0" w:color="auto"/>
        <w:right w:val="none" w:sz="0" w:space="0" w:color="auto"/>
      </w:divBdr>
    </w:div>
    <w:div w:id="1745105265">
      <w:bodyDiv w:val="1"/>
      <w:marLeft w:val="0"/>
      <w:marRight w:val="0"/>
      <w:marTop w:val="0"/>
      <w:marBottom w:val="0"/>
      <w:divBdr>
        <w:top w:val="none" w:sz="0" w:space="0" w:color="auto"/>
        <w:left w:val="none" w:sz="0" w:space="0" w:color="auto"/>
        <w:bottom w:val="none" w:sz="0" w:space="0" w:color="auto"/>
        <w:right w:val="none" w:sz="0" w:space="0" w:color="auto"/>
      </w:divBdr>
    </w:div>
    <w:div w:id="1784379038">
      <w:bodyDiv w:val="1"/>
      <w:marLeft w:val="0"/>
      <w:marRight w:val="0"/>
      <w:marTop w:val="0"/>
      <w:marBottom w:val="0"/>
      <w:divBdr>
        <w:top w:val="none" w:sz="0" w:space="0" w:color="auto"/>
        <w:left w:val="none" w:sz="0" w:space="0" w:color="auto"/>
        <w:bottom w:val="none" w:sz="0" w:space="0" w:color="auto"/>
        <w:right w:val="none" w:sz="0" w:space="0" w:color="auto"/>
      </w:divBdr>
    </w:div>
    <w:div w:id="1858423246">
      <w:bodyDiv w:val="1"/>
      <w:marLeft w:val="0"/>
      <w:marRight w:val="0"/>
      <w:marTop w:val="0"/>
      <w:marBottom w:val="0"/>
      <w:divBdr>
        <w:top w:val="none" w:sz="0" w:space="0" w:color="auto"/>
        <w:left w:val="none" w:sz="0" w:space="0" w:color="auto"/>
        <w:bottom w:val="none" w:sz="0" w:space="0" w:color="auto"/>
        <w:right w:val="none" w:sz="0" w:space="0" w:color="auto"/>
      </w:divBdr>
    </w:div>
    <w:div w:id="2008315628">
      <w:bodyDiv w:val="1"/>
      <w:marLeft w:val="0"/>
      <w:marRight w:val="0"/>
      <w:marTop w:val="0"/>
      <w:marBottom w:val="0"/>
      <w:divBdr>
        <w:top w:val="none" w:sz="0" w:space="0" w:color="auto"/>
        <w:left w:val="none" w:sz="0" w:space="0" w:color="auto"/>
        <w:bottom w:val="none" w:sz="0" w:space="0" w:color="auto"/>
        <w:right w:val="none" w:sz="0" w:space="0" w:color="auto"/>
      </w:divBdr>
    </w:div>
    <w:div w:id="2042321516">
      <w:bodyDiv w:val="1"/>
      <w:marLeft w:val="0"/>
      <w:marRight w:val="0"/>
      <w:marTop w:val="0"/>
      <w:marBottom w:val="0"/>
      <w:divBdr>
        <w:top w:val="none" w:sz="0" w:space="0" w:color="auto"/>
        <w:left w:val="none" w:sz="0" w:space="0" w:color="auto"/>
        <w:bottom w:val="none" w:sz="0" w:space="0" w:color="auto"/>
        <w:right w:val="none" w:sz="0" w:space="0" w:color="auto"/>
      </w:divBdr>
    </w:div>
    <w:div w:id="2080983191">
      <w:bodyDiv w:val="1"/>
      <w:marLeft w:val="0"/>
      <w:marRight w:val="0"/>
      <w:marTop w:val="0"/>
      <w:marBottom w:val="0"/>
      <w:divBdr>
        <w:top w:val="none" w:sz="0" w:space="0" w:color="auto"/>
        <w:left w:val="none" w:sz="0" w:space="0" w:color="auto"/>
        <w:bottom w:val="none" w:sz="0" w:space="0" w:color="auto"/>
        <w:right w:val="none" w:sz="0" w:space="0" w:color="auto"/>
      </w:divBdr>
    </w:div>
    <w:div w:id="2097048287">
      <w:bodyDiv w:val="1"/>
      <w:marLeft w:val="0"/>
      <w:marRight w:val="0"/>
      <w:marTop w:val="0"/>
      <w:marBottom w:val="0"/>
      <w:divBdr>
        <w:top w:val="none" w:sz="0" w:space="0" w:color="auto"/>
        <w:left w:val="none" w:sz="0" w:space="0" w:color="auto"/>
        <w:bottom w:val="none" w:sz="0" w:space="0" w:color="auto"/>
        <w:right w:val="none" w:sz="0" w:space="0" w:color="auto"/>
      </w:divBdr>
    </w:div>
    <w:div w:id="21463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430&#25353;&#21608;&#25259;&#38706;\2018&#24180;4&#26376;30&#26085;&#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430&#25353;&#21608;&#25259;&#38706;\2018&#24180;4&#26376;30&#26085;&#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430&#25353;&#21608;&#25259;&#38706;\2018&#24180;4&#26376;30&#26085;&#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1422174182071552E-2"/>
          <c:y val="0.15502089847203723"/>
          <c:w val="0.60528051640685665"/>
          <c:h val="0.83294600571288924"/>
        </c:manualLayout>
      </c:layout>
      <c:pie3DChart>
        <c:varyColors val="1"/>
        <c:ser>
          <c:idx val="0"/>
          <c:order val="0"/>
          <c:dPt>
            <c:idx val="0"/>
            <c:bubble3D val="0"/>
          </c:dPt>
          <c:dPt>
            <c:idx val="1"/>
            <c:bubble3D val="0"/>
          </c:dPt>
          <c:dLbls>
            <c:showLegendKey val="0"/>
            <c:showVal val="1"/>
            <c:showCatName val="0"/>
            <c:showSerName val="0"/>
            <c:showPercent val="0"/>
            <c:showBubbleSize val="0"/>
            <c:showLeaderLines val="1"/>
          </c:dLbls>
          <c:cat>
            <c:strRef>
              <c:f>'[2018年4月30日资产汇总表.xls]2018年4月'!$A$365:$A$367</c:f>
              <c:strCache>
                <c:ptCount val="3"/>
                <c:pt idx="0">
                  <c:v>现金及债券类</c:v>
                </c:pt>
                <c:pt idx="1">
                  <c:v>融资类</c:v>
                </c:pt>
                <c:pt idx="2">
                  <c:v>其他</c:v>
                </c:pt>
              </c:strCache>
            </c:strRef>
          </c:cat>
          <c:val>
            <c:numRef>
              <c:f>'[2018年4月30日资产汇总表.xls]2018年4月'!$B$365:$B$367</c:f>
              <c:numCache>
                <c:formatCode>0.00%</c:formatCode>
                <c:ptCount val="3"/>
                <c:pt idx="0">
                  <c:v>9.3872460888570999E-2</c:v>
                </c:pt>
                <c:pt idx="1">
                  <c:v>0.89152200173052265</c:v>
                </c:pt>
                <c:pt idx="2">
                  <c:v>1.4605537380906334E-2</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9343367477295426"/>
          <c:y val="0.31425921453069899"/>
          <c:w val="0.30263535642115535"/>
          <c:h val="0.33783681947731997"/>
        </c:manualLayout>
      </c:layout>
      <c:overlay val="0"/>
      <c:txPr>
        <a:bodyPr/>
        <a:lstStyle/>
        <a:p>
          <a:pPr>
            <a:defRPr sz="800" baseline="0"/>
          </a:pPr>
          <a:endParaRPr lang="zh-CN"/>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1.7247311827956996E-2"/>
          <c:y val="4.8464705069761027E-2"/>
          <c:w val="0.71028126322919316"/>
          <c:h val="0.8118425196850394"/>
        </c:manualLayout>
      </c:layout>
      <c:pie3DChart>
        <c:varyColors val="1"/>
        <c:ser>
          <c:idx val="0"/>
          <c:order val="0"/>
          <c:tx>
            <c:strRef>
              <c:f>'[2018年4月30日资产汇总表.xls]2018年4月'!$B$373</c:f>
              <c:strCache>
                <c:ptCount val="1"/>
                <c:pt idx="0">
                  <c:v>占比</c:v>
                </c:pt>
              </c:strCache>
            </c:strRef>
          </c:tx>
          <c:dPt>
            <c:idx val="0"/>
            <c:bubble3D val="0"/>
          </c:dPt>
          <c:dPt>
            <c:idx val="1"/>
            <c:bubble3D val="0"/>
          </c:dPt>
          <c:dLbls>
            <c:showLegendKey val="0"/>
            <c:showVal val="1"/>
            <c:showCatName val="0"/>
            <c:showSerName val="0"/>
            <c:showPercent val="0"/>
            <c:showBubbleSize val="0"/>
            <c:showLeaderLines val="1"/>
          </c:dLbls>
          <c:cat>
            <c:strRef>
              <c:f>'[2018年4月30日资产汇总表.xls]2018年4月'!$A$374:$A$376</c:f>
              <c:strCache>
                <c:ptCount val="3"/>
                <c:pt idx="0">
                  <c:v>AAA</c:v>
                </c:pt>
                <c:pt idx="1">
                  <c:v>AA+</c:v>
                </c:pt>
                <c:pt idx="2">
                  <c:v>AA</c:v>
                </c:pt>
              </c:strCache>
            </c:strRef>
          </c:cat>
          <c:val>
            <c:numRef>
              <c:f>'[2018年4月30日资产汇总表.xls]2018年4月'!$B$374:$B$376</c:f>
              <c:numCache>
                <c:formatCode>0.00%</c:formatCode>
                <c:ptCount val="3"/>
                <c:pt idx="0">
                  <c:v>0.35681520314547838</c:v>
                </c:pt>
                <c:pt idx="1">
                  <c:v>0.13106159895150721</c:v>
                </c:pt>
                <c:pt idx="2">
                  <c:v>0.51212319790301442</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8348556430446192"/>
          <c:y val="0.20439010913109548"/>
          <c:w val="0.19070798408263484"/>
          <c:h val="0.4859560712805636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'[2018年4月30日资产汇总表.xls]2018年4月'!$B$381</c:f>
              <c:strCache>
                <c:ptCount val="1"/>
                <c:pt idx="0">
                  <c:v>4月各行业</c:v>
                </c:pt>
              </c:strCache>
            </c:strRef>
          </c:tx>
          <c:invertIfNegative val="0"/>
          <c:cat>
            <c:strRef>
              <c:f>'[2018年4月30日资产汇总表.xls]2018年4月'!$A$382:$A$383</c:f>
              <c:strCache>
                <c:ptCount val="2"/>
                <c:pt idx="0">
                  <c:v>卫生、社会保障和社会福利业</c:v>
                </c:pt>
                <c:pt idx="1">
                  <c:v>租赁和商务服务业</c:v>
                </c:pt>
              </c:strCache>
            </c:strRef>
          </c:cat>
          <c:val>
            <c:numRef>
              <c:f>'[2018年4月30日资产汇总表.xls]2018年4月'!$B$382:$B$383</c:f>
              <c:numCache>
                <c:formatCode>0.00%</c:formatCode>
                <c:ptCount val="2"/>
                <c:pt idx="0">
                  <c:v>0.13106159895150721</c:v>
                </c:pt>
                <c:pt idx="1">
                  <c:v>0.86893840104849274</c:v>
                </c:pt>
              </c:numCache>
            </c:numRef>
          </c:val>
        </c:ser>
        <c:ser>
          <c:idx val="1"/>
          <c:order val="1"/>
          <c:tx>
            <c:strRef>
              <c:f>'[2018年4月30日资产汇总表.xls]2018年4月'!$C$381</c:f>
              <c:strCache>
                <c:ptCount val="1"/>
                <c:pt idx="0">
                  <c:v>3月各行业</c:v>
                </c:pt>
              </c:strCache>
            </c:strRef>
          </c:tx>
          <c:invertIfNegative val="0"/>
          <c:cat>
            <c:strRef>
              <c:f>'[2018年4月30日资产汇总表.xls]2018年4月'!$A$382:$A$383</c:f>
              <c:strCache>
                <c:ptCount val="2"/>
                <c:pt idx="0">
                  <c:v>卫生、社会保障和社会福利业</c:v>
                </c:pt>
                <c:pt idx="1">
                  <c:v>租赁和商务服务业</c:v>
                </c:pt>
              </c:strCache>
            </c:strRef>
          </c:cat>
          <c:val>
            <c:numRef>
              <c:f>'[2018年4月30日资产汇总表.xls]2018年4月'!$C$382:$C$383</c:f>
              <c:numCache>
                <c:formatCode>0.00%</c:formatCode>
                <c:ptCount val="2"/>
                <c:pt idx="0">
                  <c:v>0.86393088552915764</c:v>
                </c:pt>
                <c:pt idx="1">
                  <c:v>0.13606911447084233</c:v>
                </c:pt>
              </c:numCache>
            </c:numRef>
          </c:val>
        </c:ser>
        <c:ser>
          <c:idx val="2"/>
          <c:order val="2"/>
          <c:tx>
            <c:strRef>
              <c:f>'[2018年4月30日资产汇总表.xls]2018年4月'!$D$381</c:f>
              <c:strCache>
                <c:ptCount val="1"/>
                <c:pt idx="0">
                  <c:v>行业变化</c:v>
                </c:pt>
              </c:strCache>
            </c:strRef>
          </c:tx>
          <c:invertIfNegative val="0"/>
          <c:cat>
            <c:strRef>
              <c:f>'[2018年4月30日资产汇总表.xls]2018年4月'!$A$382:$A$383</c:f>
              <c:strCache>
                <c:ptCount val="2"/>
                <c:pt idx="0">
                  <c:v>卫生、社会保障和社会福利业</c:v>
                </c:pt>
                <c:pt idx="1">
                  <c:v>租赁和商务服务业</c:v>
                </c:pt>
              </c:strCache>
            </c:strRef>
          </c:cat>
          <c:val>
            <c:numRef>
              <c:f>'[2018年4月30日资产汇总表.xls]2018年4月'!$D$382:$D$383</c:f>
              <c:numCache>
                <c:formatCode>0.00%</c:formatCode>
                <c:ptCount val="2"/>
                <c:pt idx="0">
                  <c:v>-0.73286928657765049</c:v>
                </c:pt>
                <c:pt idx="1">
                  <c:v>0.73286928657765038</c:v>
                </c:pt>
              </c:numCache>
            </c:numRef>
          </c:val>
        </c:ser>
        <c:dLbls>
          <c:showLegendKey val="0"/>
          <c:showVal val="0"/>
          <c:showCatName val="0"/>
          <c:showSerName val="0"/>
          <c:showPercent val="0"/>
          <c:showBubbleSize val="0"/>
        </c:dLbls>
        <c:gapWidth val="150"/>
        <c:axId val="306747648"/>
        <c:axId val="315393536"/>
      </c:barChart>
      <c:catAx>
        <c:axId val="306747648"/>
        <c:scaling>
          <c:orientation val="minMax"/>
        </c:scaling>
        <c:delete val="0"/>
        <c:axPos val="l"/>
        <c:numFmt formatCode="General" sourceLinked="1"/>
        <c:majorTickMark val="out"/>
        <c:minorTickMark val="none"/>
        <c:tickLblPos val="nextTo"/>
        <c:crossAx val="315393536"/>
        <c:crosses val="autoZero"/>
        <c:auto val="1"/>
        <c:lblAlgn val="ctr"/>
        <c:lblOffset val="100"/>
        <c:noMultiLvlLbl val="0"/>
      </c:catAx>
      <c:valAx>
        <c:axId val="315393536"/>
        <c:scaling>
          <c:orientation val="minMax"/>
          <c:min val="-0.8"/>
        </c:scaling>
        <c:delete val="0"/>
        <c:axPos val="b"/>
        <c:majorGridlines/>
        <c:numFmt formatCode="0%" sourceLinked="0"/>
        <c:majorTickMark val="out"/>
        <c:minorTickMark val="none"/>
        <c:tickLblPos val="nextTo"/>
        <c:crossAx val="3067476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陈策</cp:lastModifiedBy>
  <cp:revision>3</cp:revision>
  <dcterms:created xsi:type="dcterms:W3CDTF">2018-05-03T12:08:00Z</dcterms:created>
  <dcterms:modified xsi:type="dcterms:W3CDTF">2018-05-03T12:09:00Z</dcterms:modified>
</cp:coreProperties>
</file>